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54" w:rsidRDefault="00043114">
      <w:pPr>
        <w:pStyle w:val="Standard"/>
        <w:spacing w:line="400" w:lineRule="exact"/>
        <w:rPr>
          <w:rFonts w:ascii="標楷體" w:eastAsia="標楷體" w:hAnsi="標楷體" w:cs="標楷體"/>
          <w:sz w:val="32"/>
          <w:szCs w:val="32"/>
        </w:rPr>
      </w:pPr>
      <w:bookmarkStart w:id="0" w:name="_GoBack"/>
      <w:r>
        <w:rPr>
          <w:rFonts w:ascii="標楷體" w:eastAsia="標楷體" w:hAnsi="標楷體" w:cs="標楷體"/>
          <w:sz w:val="32"/>
          <w:szCs w:val="32"/>
        </w:rPr>
        <w:t>「公立學校教職員退休資遣撫卹條例施行細則」第一百零二條、第一百零六條、附表一條文勘誤表</w:t>
      </w:r>
    </w:p>
    <w:bookmarkEnd w:id="0"/>
    <w:p w:rsidR="00A95B54" w:rsidRDefault="00A95B54">
      <w:pPr>
        <w:pStyle w:val="Standard"/>
        <w:spacing w:line="400" w:lineRule="exact"/>
        <w:rPr>
          <w:rFonts w:ascii="標楷體" w:eastAsia="標楷體" w:hAnsi="標楷體" w:cs="標楷體"/>
          <w:sz w:val="32"/>
          <w:szCs w:val="32"/>
        </w:rPr>
      </w:pPr>
    </w:p>
    <w:tbl>
      <w:tblPr>
        <w:tblW w:w="8218" w:type="dxa"/>
        <w:tblInd w:w="108" w:type="dxa"/>
        <w:tblLayout w:type="fixed"/>
        <w:tblCellMar>
          <w:left w:w="10" w:type="dxa"/>
          <w:right w:w="10" w:type="dxa"/>
        </w:tblCellMar>
        <w:tblLook w:val="0000" w:firstRow="0" w:lastRow="0" w:firstColumn="0" w:lastColumn="0" w:noHBand="0" w:noVBand="0"/>
      </w:tblPr>
      <w:tblGrid>
        <w:gridCol w:w="4068"/>
        <w:gridCol w:w="4150"/>
      </w:tblGrid>
      <w:tr w:rsidR="00A95B54">
        <w:tc>
          <w:tcPr>
            <w:tcW w:w="4068" w:type="dxa"/>
            <w:tcBorders>
              <w:top w:val="single" w:sz="4" w:space="0" w:color="000000"/>
              <w:left w:val="single" w:sz="4" w:space="0" w:color="000000"/>
              <w:bottom w:val="single" w:sz="4" w:space="0" w:color="000000"/>
            </w:tcBorders>
            <w:tcMar>
              <w:top w:w="0" w:type="dxa"/>
              <w:left w:w="108" w:type="dxa"/>
              <w:bottom w:w="0" w:type="dxa"/>
              <w:right w:w="108" w:type="dxa"/>
            </w:tcMar>
          </w:tcPr>
          <w:p w:rsidR="00A95B54" w:rsidRDefault="00043114">
            <w:pPr>
              <w:pStyle w:val="Standard"/>
              <w:snapToGrid w:val="0"/>
              <w:spacing w:line="500" w:lineRule="exact"/>
              <w:jc w:val="center"/>
              <w:rPr>
                <w:rFonts w:ascii="標楷體" w:eastAsia="標楷體" w:hAnsi="標楷體" w:cs="標楷體"/>
                <w:sz w:val="32"/>
                <w:szCs w:val="32"/>
              </w:rPr>
            </w:pPr>
            <w:r>
              <w:rPr>
                <w:rFonts w:ascii="標楷體" w:eastAsia="標楷體" w:hAnsi="標楷體" w:cs="標楷體"/>
                <w:sz w:val="32"/>
                <w:szCs w:val="32"/>
              </w:rPr>
              <w:t>更正後文字</w:t>
            </w: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B54" w:rsidRDefault="00043114">
            <w:pPr>
              <w:pStyle w:val="Standard"/>
              <w:snapToGrid w:val="0"/>
              <w:spacing w:line="500" w:lineRule="exact"/>
              <w:jc w:val="center"/>
              <w:rPr>
                <w:rFonts w:ascii="標楷體" w:eastAsia="標楷體" w:hAnsi="標楷體" w:cs="標楷體"/>
                <w:sz w:val="32"/>
                <w:szCs w:val="32"/>
              </w:rPr>
            </w:pPr>
            <w:r>
              <w:rPr>
                <w:rFonts w:ascii="標楷體" w:eastAsia="標楷體" w:hAnsi="標楷體" w:cs="標楷體"/>
                <w:sz w:val="32"/>
                <w:szCs w:val="32"/>
              </w:rPr>
              <w:t>原列文字</w:t>
            </w:r>
          </w:p>
        </w:tc>
      </w:tr>
      <w:tr w:rsidR="00A95B54">
        <w:tc>
          <w:tcPr>
            <w:tcW w:w="4068" w:type="dxa"/>
            <w:tcBorders>
              <w:top w:val="single" w:sz="4" w:space="0" w:color="000000"/>
              <w:left w:val="single" w:sz="4" w:space="0" w:color="000000"/>
              <w:bottom w:val="single" w:sz="4" w:space="0" w:color="000000"/>
            </w:tcBorders>
            <w:tcMar>
              <w:top w:w="0" w:type="dxa"/>
              <w:left w:w="108" w:type="dxa"/>
              <w:bottom w:w="0" w:type="dxa"/>
              <w:right w:w="108" w:type="dxa"/>
            </w:tcMar>
          </w:tcPr>
          <w:p w:rsidR="00A95B54" w:rsidRDefault="00043114">
            <w:pPr>
              <w:pStyle w:val="Standard"/>
              <w:widowControl/>
              <w:ind w:left="240" w:hanging="240"/>
              <w:jc w:val="both"/>
            </w:pPr>
            <w:r>
              <w:rPr>
                <w:rFonts w:eastAsia="標楷體" w:cs="新細明體, PMingLiU"/>
              </w:rPr>
              <w:t>第</w:t>
            </w:r>
            <w:r>
              <w:rPr>
                <w:rFonts w:ascii="標楷體" w:eastAsia="標楷體" w:hAnsi="標楷體" w:cs="新細明體, PMingLiU"/>
              </w:rPr>
              <w:t>一百零二</w:t>
            </w:r>
            <w:r>
              <w:rPr>
                <w:rFonts w:eastAsia="標楷體" w:cs="新細明體, PMingLiU"/>
              </w:rPr>
              <w:t>條　本條例第四十條第一項所定各級政府每年節省之退撫經費支出應全數挹注退撫基金，依下列規定辦理：</w:t>
            </w:r>
          </w:p>
          <w:p w:rsidR="00A95B54" w:rsidRDefault="00043114">
            <w:pPr>
              <w:pStyle w:val="Standard"/>
              <w:widowControl/>
              <w:ind w:left="742" w:hanging="425"/>
              <w:jc w:val="both"/>
            </w:pPr>
            <w:r>
              <w:rPr>
                <w:rFonts w:eastAsia="標楷體" w:cs="新細明體, PMingLiU"/>
              </w:rPr>
              <w:t>一、各級政府應於每年一月三十一日以前</w:t>
            </w:r>
            <w:r>
              <w:rPr>
                <w:rFonts w:ascii="標楷體" w:eastAsia="標楷體" w:hAnsi="標楷體" w:cs="新細明體, PMingLiU"/>
              </w:rPr>
              <w:t>，</w:t>
            </w:r>
            <w:r>
              <w:rPr>
                <w:rFonts w:eastAsia="標楷體" w:cs="新細明體, PMingLiU"/>
              </w:rPr>
              <w:t>將所屬退休教職員前一年度依本條例第三十六條至第三十九條規定計算後減少支付之下列金額</w:t>
            </w:r>
            <w:r>
              <w:rPr>
                <w:rFonts w:eastAsia="標楷體"/>
              </w:rPr>
              <w:t>及明細</w:t>
            </w:r>
            <w:r>
              <w:rPr>
                <w:rFonts w:eastAsia="標楷體" w:cs="新細明體, PMingLiU"/>
              </w:rPr>
              <w:t>，彙送教育部審核：</w:t>
            </w:r>
          </w:p>
          <w:p w:rsidR="00A95B54" w:rsidRDefault="00043114">
            <w:pPr>
              <w:pStyle w:val="Standard"/>
              <w:ind w:firstLine="600"/>
              <w:jc w:val="both"/>
              <w:rPr>
                <w:rFonts w:ascii="標楷體" w:eastAsia="標楷體" w:hAnsi="標楷體" w:cs="新細明體, PMingLiU"/>
              </w:rPr>
            </w:pPr>
            <w:r>
              <w:rPr>
                <w:rFonts w:ascii="標楷體" w:eastAsia="標楷體" w:hAnsi="標楷體" w:cs="新細明體, PMingLiU"/>
              </w:rPr>
              <w:t>(一)優惠存款利息。</w:t>
            </w:r>
          </w:p>
          <w:p w:rsidR="00A95B54" w:rsidRDefault="00043114">
            <w:pPr>
              <w:pStyle w:val="Standard"/>
              <w:ind w:left="1025" w:hanging="425"/>
              <w:jc w:val="both"/>
            </w:pPr>
            <w:r>
              <w:rPr>
                <w:rFonts w:ascii="標楷體" w:eastAsia="標楷體" w:hAnsi="標楷體" w:cs="新細明體, PMingLiU"/>
              </w:rPr>
              <w:t>(二)</w:t>
            </w:r>
            <w:r>
              <w:rPr>
                <w:rFonts w:eastAsia="標楷體" w:cs="新細明體, PMingLiU"/>
              </w:rPr>
              <w:t>退撫新制實施前年資所計發之月退休金（包括月補償金）。</w:t>
            </w:r>
          </w:p>
          <w:p w:rsidR="00A95B54" w:rsidRDefault="00043114">
            <w:pPr>
              <w:pStyle w:val="Standard"/>
              <w:ind w:left="742" w:hanging="425"/>
              <w:jc w:val="both"/>
              <w:rPr>
                <w:rFonts w:eastAsia="標楷體" w:cs="新細明體, PMingLiU"/>
              </w:rPr>
            </w:pPr>
            <w:r>
              <w:rPr>
                <w:rFonts w:eastAsia="標楷體" w:cs="新細明體, PMingLiU"/>
              </w:rPr>
              <w:t>二、教育部就各級政府依前款規定所送之總金額彙整後，報請行政院會同考試院，於每年三月一日前確定應挹注退撫基金之金額，再由基金管理會編列為下一年度歲入預算。</w:t>
            </w:r>
          </w:p>
          <w:p w:rsidR="00A95B54" w:rsidRDefault="00043114">
            <w:pPr>
              <w:pStyle w:val="ab"/>
              <w:ind w:left="742" w:hanging="425"/>
              <w:jc w:val="both"/>
            </w:pPr>
            <w:r>
              <w:rPr>
                <w:rFonts w:ascii="Times New Roman" w:eastAsia="標楷體" w:hAnsi="Times New Roman" w:cs="新細明體, PMingLiU"/>
              </w:rPr>
              <w:t>三、各級政府於前款應挹注退撫基金之金額確定後，應報請第</w:t>
            </w:r>
            <w:r>
              <w:rPr>
                <w:rFonts w:ascii="Times New Roman" w:eastAsia="標楷體" w:hAnsi="Times New Roman" w:cs="新細明體, PMingLiU"/>
                <w:u w:val="single"/>
              </w:rPr>
              <w:t>一百</w:t>
            </w:r>
            <w:r>
              <w:rPr>
                <w:rFonts w:ascii="Times New Roman" w:eastAsia="標楷體" w:hAnsi="Times New Roman" w:cs="新細明體, PMingLiU"/>
              </w:rPr>
              <w:t>條第二項所定支給機關，依預算法令編列為下一年度歲出預算。</w:t>
            </w:r>
          </w:p>
          <w:p w:rsidR="00A95B54" w:rsidRDefault="00043114">
            <w:pPr>
              <w:pStyle w:val="Standard"/>
              <w:widowControl/>
              <w:ind w:left="240" w:hanging="240"/>
              <w:jc w:val="both"/>
            </w:pPr>
            <w:r>
              <w:rPr>
                <w:rFonts w:eastAsia="Times New Roman"/>
              </w:rPr>
              <w:t xml:space="preserve">      </w:t>
            </w:r>
            <w:r>
              <w:rPr>
                <w:rFonts w:eastAsia="標楷體" w:cs="新細明體, PMingLiU"/>
              </w:rPr>
              <w:t>各級地方政府依前項第三款規定編列之下一年度歲出預算中，直轄市及縣</w:t>
            </w:r>
            <w:r>
              <w:rPr>
                <w:rFonts w:ascii="標楷體" w:eastAsia="標楷體" w:hAnsi="標楷體" w:cs="新細明體, PMingLiU"/>
              </w:rPr>
              <w:t>(市)政府應挹</w:t>
            </w:r>
            <w:r>
              <w:rPr>
                <w:rFonts w:eastAsia="標楷體" w:cs="新細明體, PMingLiU"/>
              </w:rPr>
              <w:t>注部分，由財政部及中央主計機關分別以中央統籌分配稅款、一般性及專案補助款代為撥付退撫基金。</w:t>
            </w:r>
          </w:p>
          <w:p w:rsidR="00A95B54" w:rsidRDefault="00043114">
            <w:pPr>
              <w:pStyle w:val="Standard"/>
              <w:widowControl/>
              <w:ind w:left="240" w:firstLine="480"/>
              <w:jc w:val="both"/>
              <w:rPr>
                <w:rFonts w:eastAsia="標楷體" w:cs="新細明體, PMingLiU"/>
              </w:rPr>
            </w:pPr>
            <w:r>
              <w:rPr>
                <w:rFonts w:eastAsia="標楷體" w:cs="新細明體, PMingLiU"/>
              </w:rPr>
              <w:t>前項所定以中央統籌分配稅款、一般性及專案補助款代為撥付退撫基金之撥付期程及金額，由教育部通知財政部及中央主計機關配合辦理。</w:t>
            </w:r>
          </w:p>
          <w:p w:rsidR="00A95B54" w:rsidRDefault="00043114">
            <w:pPr>
              <w:pStyle w:val="Standard"/>
              <w:widowControl/>
              <w:ind w:left="240" w:firstLine="480"/>
              <w:jc w:val="both"/>
              <w:rPr>
                <w:rFonts w:eastAsia="標楷體"/>
              </w:rPr>
            </w:pPr>
            <w:r>
              <w:rPr>
                <w:rFonts w:eastAsia="標楷體"/>
              </w:rPr>
              <w:t>依本條例第四十條第三項規定定期上網公告之挹注金額及明細，</w:t>
            </w:r>
            <w:r>
              <w:rPr>
                <w:rFonts w:eastAsia="標楷體"/>
              </w:rPr>
              <w:lastRenderedPageBreak/>
              <w:t>應於行政院會同考試院確認後，揭露於教育部網站。</w:t>
            </w: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B54" w:rsidRDefault="00043114">
            <w:pPr>
              <w:pStyle w:val="Standard"/>
              <w:widowControl/>
              <w:ind w:left="240" w:hanging="240"/>
              <w:jc w:val="both"/>
            </w:pPr>
            <w:r>
              <w:rPr>
                <w:rFonts w:eastAsia="標楷體" w:cs="新細明體, PMingLiU"/>
              </w:rPr>
              <w:lastRenderedPageBreak/>
              <w:t>第</w:t>
            </w:r>
            <w:r>
              <w:rPr>
                <w:rFonts w:ascii="標楷體" w:eastAsia="標楷體" w:hAnsi="標楷體" w:cs="新細明體, PMingLiU"/>
              </w:rPr>
              <w:t>一百零二</w:t>
            </w:r>
            <w:r>
              <w:rPr>
                <w:rFonts w:eastAsia="標楷體" w:cs="新細明體, PMingLiU"/>
              </w:rPr>
              <w:t>條　本條例第四十條第一項所定各級政府每年節省之退撫經費支出應全數挹注退撫基金，依下列規定辦理：</w:t>
            </w:r>
          </w:p>
          <w:p w:rsidR="00A95B54" w:rsidRDefault="00043114">
            <w:pPr>
              <w:pStyle w:val="Standard"/>
              <w:widowControl/>
              <w:ind w:left="742" w:hanging="425"/>
              <w:jc w:val="both"/>
            </w:pPr>
            <w:r>
              <w:rPr>
                <w:rFonts w:eastAsia="標楷體" w:cs="新細明體, PMingLiU"/>
              </w:rPr>
              <w:t>一、各級政府應於每年一月三十一日以前</w:t>
            </w:r>
            <w:r>
              <w:rPr>
                <w:rFonts w:ascii="標楷體" w:eastAsia="標楷體" w:hAnsi="標楷體" w:cs="新細明體, PMingLiU"/>
              </w:rPr>
              <w:t>，</w:t>
            </w:r>
            <w:r>
              <w:rPr>
                <w:rFonts w:eastAsia="標楷體" w:cs="新細明體, PMingLiU"/>
              </w:rPr>
              <w:t>將所屬退休教職員前一年度依本條例第三十六條至第三十九條規定計算後減少支付之下列金額</w:t>
            </w:r>
            <w:r>
              <w:rPr>
                <w:rFonts w:eastAsia="標楷體"/>
              </w:rPr>
              <w:t>及明細</w:t>
            </w:r>
            <w:r>
              <w:rPr>
                <w:rFonts w:eastAsia="標楷體" w:cs="新細明體, PMingLiU"/>
              </w:rPr>
              <w:t>，彙送教育部審核：</w:t>
            </w:r>
          </w:p>
          <w:p w:rsidR="00A95B54" w:rsidRDefault="00043114">
            <w:pPr>
              <w:pStyle w:val="Standard"/>
              <w:widowControl/>
              <w:ind w:left="739" w:hanging="96"/>
              <w:jc w:val="both"/>
            </w:pPr>
            <w:r>
              <w:rPr>
                <w:rFonts w:ascii="標楷體" w:eastAsia="標楷體" w:hAnsi="標楷體" w:cs="新細明體, PMingLiU"/>
              </w:rPr>
              <w:t>(一)</w:t>
            </w:r>
            <w:r>
              <w:rPr>
                <w:rFonts w:eastAsia="標楷體" w:cs="新細明體, PMingLiU"/>
              </w:rPr>
              <w:t>優惠存款利息。</w:t>
            </w:r>
          </w:p>
          <w:p w:rsidR="00A95B54" w:rsidRDefault="00043114">
            <w:pPr>
              <w:pStyle w:val="Standard"/>
              <w:widowControl/>
              <w:ind w:left="1068" w:hanging="425"/>
              <w:jc w:val="both"/>
            </w:pPr>
            <w:r>
              <w:rPr>
                <w:rFonts w:ascii="標楷體" w:eastAsia="標楷體" w:hAnsi="標楷體" w:cs="新細明體, PMingLiU"/>
              </w:rPr>
              <w:t>(二)</w:t>
            </w:r>
            <w:r>
              <w:rPr>
                <w:rFonts w:eastAsia="標楷體" w:cs="新細明體, PMingLiU"/>
              </w:rPr>
              <w:t>退撫新制實施前年資所計發之月退休金（包括補償金）。</w:t>
            </w:r>
          </w:p>
          <w:p w:rsidR="00A95B54" w:rsidRDefault="00043114">
            <w:pPr>
              <w:pStyle w:val="Standard"/>
              <w:ind w:left="742" w:hanging="425"/>
              <w:jc w:val="both"/>
              <w:rPr>
                <w:rFonts w:eastAsia="標楷體" w:cs="新細明體, PMingLiU"/>
              </w:rPr>
            </w:pPr>
            <w:r>
              <w:rPr>
                <w:rFonts w:eastAsia="標楷體" w:cs="新細明體, PMingLiU"/>
              </w:rPr>
              <w:t>二、教育部就各級政府依前款規定所送之總金額彙整後，報請行政院會同考試院，於每年三月一日前確定應挹注退撫基金之金額，再由基金管理會編列為下一年度歲入預算。</w:t>
            </w:r>
          </w:p>
          <w:p w:rsidR="00A95B54" w:rsidRDefault="00043114">
            <w:pPr>
              <w:pStyle w:val="ab"/>
              <w:ind w:left="742" w:hanging="425"/>
              <w:jc w:val="both"/>
            </w:pPr>
            <w:r>
              <w:rPr>
                <w:rFonts w:ascii="Times New Roman" w:eastAsia="標楷體" w:hAnsi="Times New Roman" w:cs="新細明體, PMingLiU"/>
              </w:rPr>
              <w:t>三、各級政府於前款應挹注退撫基金之金額確定後，應報請</w:t>
            </w:r>
            <w:r>
              <w:rPr>
                <w:rFonts w:ascii="Times New Roman" w:eastAsia="標楷體" w:hAnsi="Times New Roman" w:cs="新細明體, PMingLiU"/>
                <w:color w:val="000000"/>
              </w:rPr>
              <w:t>第一百零一條第二項所定支給機關，</w:t>
            </w:r>
            <w:r>
              <w:rPr>
                <w:rFonts w:ascii="Times New Roman" w:eastAsia="標楷體" w:hAnsi="Times New Roman" w:cs="新細明體, PMingLiU"/>
              </w:rPr>
              <w:t>依預算法令編列為下一年度歲出預算。</w:t>
            </w:r>
          </w:p>
          <w:p w:rsidR="00A95B54" w:rsidRDefault="00043114">
            <w:pPr>
              <w:pStyle w:val="Standard"/>
              <w:widowControl/>
              <w:ind w:left="240" w:hanging="240"/>
              <w:jc w:val="both"/>
            </w:pPr>
            <w:r>
              <w:rPr>
                <w:rFonts w:eastAsia="Times New Roman"/>
              </w:rPr>
              <w:t xml:space="preserve">      </w:t>
            </w:r>
            <w:r>
              <w:rPr>
                <w:rFonts w:eastAsia="標楷體" w:cs="新細明體, PMingLiU"/>
              </w:rPr>
              <w:t>各級地方政府依前項第三款規定編列之下一年度歲出預算中，直轄市及縣</w:t>
            </w:r>
            <w:r>
              <w:rPr>
                <w:rFonts w:ascii="標楷體" w:eastAsia="標楷體" w:hAnsi="標楷體" w:cs="新細明體, PMingLiU"/>
              </w:rPr>
              <w:t>(市)政府應挹</w:t>
            </w:r>
            <w:r>
              <w:rPr>
                <w:rFonts w:eastAsia="標楷體" w:cs="新細明體, PMingLiU"/>
              </w:rPr>
              <w:t>注部分，由財政部及中央主計機關分別以中央統籌分配稅款、一般性及專案補助款代為撥付退撫基金。</w:t>
            </w:r>
          </w:p>
          <w:p w:rsidR="00A95B54" w:rsidRDefault="00043114">
            <w:pPr>
              <w:pStyle w:val="Standard"/>
              <w:widowControl/>
              <w:ind w:left="240" w:firstLine="480"/>
              <w:jc w:val="both"/>
              <w:rPr>
                <w:rFonts w:eastAsia="標楷體" w:cs="新細明體, PMingLiU"/>
              </w:rPr>
            </w:pPr>
            <w:r>
              <w:rPr>
                <w:rFonts w:eastAsia="標楷體" w:cs="新細明體, PMingLiU"/>
              </w:rPr>
              <w:t>前項所定以中央統籌分配稅款、一般性及專案補助款代為撥付退撫基金之撥付期程及金額，由教育部通知財政部及中央主計機關配合辦理。</w:t>
            </w:r>
          </w:p>
          <w:p w:rsidR="00A95B54" w:rsidRDefault="00043114">
            <w:pPr>
              <w:pStyle w:val="Standard"/>
              <w:widowControl/>
              <w:ind w:left="240" w:firstLine="480"/>
              <w:jc w:val="both"/>
              <w:rPr>
                <w:rFonts w:eastAsia="標楷體"/>
              </w:rPr>
            </w:pPr>
            <w:r>
              <w:rPr>
                <w:rFonts w:eastAsia="標楷體"/>
              </w:rPr>
              <w:t>依本條例第四十條第三項規定定期上網公告之挹注金額及明細，</w:t>
            </w:r>
            <w:r>
              <w:rPr>
                <w:rFonts w:eastAsia="標楷體"/>
              </w:rPr>
              <w:lastRenderedPageBreak/>
              <w:t>應於行政院會同考試院確認後，揭露於教育部網站。</w:t>
            </w:r>
          </w:p>
        </w:tc>
      </w:tr>
      <w:tr w:rsidR="00A95B54">
        <w:tc>
          <w:tcPr>
            <w:tcW w:w="4068" w:type="dxa"/>
            <w:tcBorders>
              <w:top w:val="single" w:sz="4" w:space="0" w:color="000000"/>
              <w:left w:val="single" w:sz="4" w:space="0" w:color="000000"/>
              <w:bottom w:val="single" w:sz="4" w:space="0" w:color="000000"/>
            </w:tcBorders>
            <w:tcMar>
              <w:top w:w="0" w:type="dxa"/>
              <w:left w:w="108" w:type="dxa"/>
              <w:bottom w:w="0" w:type="dxa"/>
              <w:right w:w="108" w:type="dxa"/>
            </w:tcMar>
          </w:tcPr>
          <w:p w:rsidR="00A95B54" w:rsidRDefault="00043114">
            <w:pPr>
              <w:pStyle w:val="Standard"/>
              <w:widowControl/>
              <w:ind w:left="240" w:hanging="240"/>
              <w:jc w:val="both"/>
            </w:pPr>
            <w:r>
              <w:rPr>
                <w:rFonts w:ascii="標楷體" w:eastAsia="標楷體" w:hAnsi="標楷體" w:cs="新細明體, PMingLiU"/>
              </w:rPr>
              <w:lastRenderedPageBreak/>
              <w:t>第一百零六條　教職員或其遺族請領退撫給與及優惠存款利息之權利，依本條例第七十三條第一項規定，</w:t>
            </w:r>
            <w:r>
              <w:rPr>
                <w:rFonts w:ascii="標楷體" w:eastAsia="標楷體" w:hAnsi="標楷體" w:cs="新細明體, PMingLiU"/>
                <w:color w:val="000000"/>
              </w:rPr>
              <w:t>應自請求權可行使之日起，於行政程序法所定請求權時效內為之。</w:t>
            </w:r>
          </w:p>
          <w:p w:rsidR="00A95B54" w:rsidRDefault="00043114">
            <w:pPr>
              <w:pStyle w:val="Standard"/>
              <w:widowControl/>
              <w:ind w:left="240" w:firstLine="480"/>
              <w:jc w:val="both"/>
            </w:pPr>
            <w:r>
              <w:rPr>
                <w:rFonts w:ascii="標楷體" w:eastAsia="標楷體" w:hAnsi="標楷體" w:cs="新細明體, PMingLiU"/>
                <w:color w:val="000000"/>
              </w:rPr>
              <w:t>前項所定退撫給與及優惠存款利息之請求權可行使之日，</w:t>
            </w:r>
            <w:r>
              <w:rPr>
                <w:rFonts w:ascii="標楷體" w:eastAsia="標楷體" w:hAnsi="標楷體" w:cs="新細明體, PMingLiU"/>
              </w:rPr>
              <w:t>規定如下：</w:t>
            </w:r>
          </w:p>
          <w:p w:rsidR="00A95B54" w:rsidRDefault="00043114">
            <w:pPr>
              <w:pStyle w:val="ab"/>
              <w:ind w:left="742" w:hanging="425"/>
              <w:jc w:val="both"/>
              <w:rPr>
                <w:rFonts w:ascii="標楷體" w:eastAsia="標楷體" w:hAnsi="標楷體" w:cs="新細明體, PMingLiU"/>
              </w:rPr>
            </w:pPr>
            <w:r>
              <w:rPr>
                <w:rFonts w:ascii="標楷體" w:eastAsia="標楷體" w:hAnsi="標楷體" w:cs="新細明體, PMingLiU"/>
              </w:rPr>
              <w:t>一、一次退休金、首期月退休金、首期優惠存款利息及資遣給與部分，指主管機關審定退休或核定資遣生效日。</w:t>
            </w:r>
          </w:p>
          <w:p w:rsidR="00A95B54" w:rsidRDefault="00043114">
            <w:pPr>
              <w:pStyle w:val="ab"/>
              <w:ind w:left="742" w:hanging="425"/>
              <w:jc w:val="both"/>
            </w:pPr>
            <w:r>
              <w:rPr>
                <w:rFonts w:ascii="標楷體" w:eastAsia="標楷體" w:hAnsi="標楷體" w:cs="新細明體, PMingLiU"/>
              </w:rPr>
              <w:t>二、申請發還退撫基金費用本息，指離職生效日。</w:t>
            </w:r>
          </w:p>
          <w:p w:rsidR="00A95B54" w:rsidRDefault="00043114">
            <w:pPr>
              <w:pStyle w:val="ab"/>
              <w:ind w:left="742" w:hanging="425"/>
              <w:jc w:val="both"/>
              <w:rPr>
                <w:rFonts w:ascii="標楷體" w:eastAsia="標楷體" w:hAnsi="標楷體" w:cs="新細明體, PMingLiU"/>
              </w:rPr>
            </w:pPr>
            <w:r>
              <w:rPr>
                <w:rFonts w:ascii="標楷體" w:eastAsia="標楷體" w:hAnsi="標楷體" w:cs="新細明體, PMingLiU"/>
              </w:rPr>
              <w:t>三、遺屬一次金或首期遺屬年金，指支領或兼領月退休金人員亡故之日。</w:t>
            </w:r>
          </w:p>
          <w:p w:rsidR="00A95B54" w:rsidRDefault="00043114">
            <w:pPr>
              <w:pStyle w:val="ab"/>
              <w:ind w:left="742" w:hanging="425"/>
              <w:jc w:val="both"/>
              <w:rPr>
                <w:rFonts w:ascii="標楷體" w:eastAsia="標楷體" w:hAnsi="標楷體" w:cs="新細明體, PMingLiU"/>
              </w:rPr>
            </w:pPr>
            <w:r>
              <w:rPr>
                <w:rFonts w:ascii="標楷體" w:eastAsia="標楷體" w:hAnsi="標楷體" w:cs="新細明體, PMingLiU"/>
              </w:rPr>
              <w:t>四、一次撫卹金及首期月撫卹金，指教職員亡故之日。</w:t>
            </w:r>
          </w:p>
          <w:p w:rsidR="00A95B54" w:rsidRDefault="00043114">
            <w:pPr>
              <w:pStyle w:val="Standard"/>
              <w:widowControl/>
              <w:ind w:left="240" w:firstLine="480"/>
              <w:jc w:val="both"/>
            </w:pPr>
            <w:r>
              <w:rPr>
                <w:rFonts w:ascii="標楷體" w:eastAsia="標楷體" w:hAnsi="標楷體" w:cs="新細明體, PMingLiU"/>
              </w:rPr>
              <w:t>前項第三款及第四款所定之</w:t>
            </w:r>
            <w:r>
              <w:rPr>
                <w:rFonts w:ascii="標楷體" w:eastAsia="標楷體" w:hAnsi="標楷體" w:cs="新細明體, PMingLiU"/>
                <w:u w:val="single"/>
              </w:rPr>
              <w:t>請求權可行使之日</w:t>
            </w:r>
            <w:r>
              <w:rPr>
                <w:rFonts w:ascii="標楷體" w:eastAsia="標楷體" w:hAnsi="標楷體" w:cs="新細明體, PMingLiU"/>
              </w:rPr>
              <w:t>，於支領或兼領月退休金教職員或教職員亡故之日時，其遺族因褫奪公權尚未復權而致不能行使者，其請求權時效自復權之日起算。</w:t>
            </w:r>
          </w:p>
          <w:p w:rsidR="00A95B54" w:rsidRDefault="00043114">
            <w:pPr>
              <w:pStyle w:val="Standard"/>
              <w:widowControl/>
              <w:ind w:left="240" w:firstLine="480"/>
              <w:jc w:val="both"/>
              <w:rPr>
                <w:rFonts w:ascii="標楷體" w:eastAsia="標楷體" w:hAnsi="標楷體" w:cs="新細明體, PMingLiU"/>
              </w:rPr>
            </w:pPr>
            <w:r>
              <w:rPr>
                <w:rFonts w:ascii="標楷體" w:eastAsia="標楷體" w:hAnsi="標楷體" w:cs="新細明體, PMingLiU"/>
              </w:rPr>
              <w:t>本條例所定各定期發放之退撫給與及優惠存款利息之請求權時效，自各期發放之日起算。其因本條例第七十六條及第七十七條規定而應停止領受權利者，自停止原因消滅之日起算。</w:t>
            </w:r>
          </w:p>
          <w:p w:rsidR="00A95B54" w:rsidRDefault="00043114">
            <w:pPr>
              <w:pStyle w:val="Standard"/>
              <w:widowControl/>
              <w:ind w:left="240" w:firstLine="480"/>
              <w:jc w:val="both"/>
              <w:rPr>
                <w:rFonts w:ascii="標楷體" w:eastAsia="標楷體" w:hAnsi="標楷體" w:cs="新細明體, PMingLiU"/>
              </w:rPr>
            </w:pPr>
            <w:r>
              <w:rPr>
                <w:rFonts w:ascii="標楷體" w:eastAsia="標楷體" w:hAnsi="標楷體" w:cs="新細明體, PMingLiU"/>
              </w:rPr>
              <w:t>教職員或其遺族於中華民國一百零七年六月三十日以前已發生之退撫給與及優惠存款請求權且時效尚未完成者，自一百零七年七月一日起，適用本條例第七十三條及第一項規定；其已進行之時效期間應接續計算，合計為行政程序法所定請求權時效。</w:t>
            </w: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B54" w:rsidRDefault="00043114">
            <w:pPr>
              <w:pStyle w:val="Standard"/>
              <w:widowControl/>
              <w:ind w:left="240" w:hanging="240"/>
              <w:jc w:val="both"/>
              <w:rPr>
                <w:rFonts w:eastAsia="標楷體" w:cs="新細明體, PMingLiU"/>
              </w:rPr>
            </w:pPr>
            <w:r>
              <w:rPr>
                <w:rFonts w:eastAsia="標楷體" w:cs="新細明體, PMingLiU"/>
              </w:rPr>
              <w:t>第一百零六條　教職員或其遺族請領退撫給與及優惠存款利息之權利，依本條例第七十三條第一項規定，應自請求權可行使之日起，於行政程序法所定請求權時效內為之。</w:t>
            </w:r>
          </w:p>
          <w:p w:rsidR="00A95B54" w:rsidRDefault="00043114">
            <w:pPr>
              <w:pStyle w:val="Standard"/>
              <w:widowControl/>
              <w:ind w:left="240" w:firstLine="480"/>
              <w:jc w:val="both"/>
              <w:rPr>
                <w:rFonts w:eastAsia="標楷體" w:cs="新細明體, PMingLiU"/>
              </w:rPr>
            </w:pPr>
            <w:r>
              <w:rPr>
                <w:rFonts w:eastAsia="標楷體" w:cs="新細明體, PMingLiU"/>
              </w:rPr>
              <w:t>前項所定退撫給與及優惠存款利息之請求權可行使之日，規定如下：</w:t>
            </w:r>
          </w:p>
          <w:p w:rsidR="00A95B54" w:rsidRDefault="00043114">
            <w:pPr>
              <w:pStyle w:val="ab"/>
              <w:numPr>
                <w:ilvl w:val="0"/>
                <w:numId w:val="10"/>
              </w:numPr>
              <w:jc w:val="both"/>
              <w:rPr>
                <w:rFonts w:ascii="Times New Roman" w:eastAsia="標楷體" w:hAnsi="Times New Roman" w:cs="新細明體, PMingLiU"/>
              </w:rPr>
            </w:pPr>
            <w:r>
              <w:rPr>
                <w:rFonts w:ascii="Times New Roman" w:eastAsia="標楷體" w:hAnsi="Times New Roman" w:cs="新細明體, PMingLiU"/>
              </w:rPr>
              <w:t>一次退休金、首期月退休金、首期優惠存款利息及資遣給與部分，指主管機關審定退休或核定資遣生效日。</w:t>
            </w:r>
          </w:p>
          <w:p w:rsidR="00A95B54" w:rsidRDefault="00043114">
            <w:pPr>
              <w:pStyle w:val="ab"/>
              <w:numPr>
                <w:ilvl w:val="0"/>
                <w:numId w:val="5"/>
              </w:numPr>
              <w:jc w:val="both"/>
            </w:pPr>
            <w:r>
              <w:rPr>
                <w:rFonts w:eastAsia="標楷體" w:cs="新細明體, PMingLiU"/>
              </w:rPr>
              <w:t>申請發還退撫基金費用本息</w:t>
            </w:r>
            <w:r>
              <w:rPr>
                <w:rFonts w:ascii="Times New Roman" w:eastAsia="標楷體" w:hAnsi="Times New Roman" w:cs="新細明體, PMingLiU"/>
              </w:rPr>
              <w:t>，指離職生效日。</w:t>
            </w:r>
          </w:p>
          <w:p w:rsidR="00A95B54" w:rsidRDefault="00043114">
            <w:pPr>
              <w:pStyle w:val="ab"/>
              <w:numPr>
                <w:ilvl w:val="0"/>
                <w:numId w:val="5"/>
              </w:numPr>
              <w:ind w:left="743" w:hanging="505"/>
              <w:jc w:val="both"/>
              <w:rPr>
                <w:rFonts w:ascii="Times New Roman" w:eastAsia="標楷體" w:hAnsi="Times New Roman" w:cs="新細明體, PMingLiU"/>
              </w:rPr>
            </w:pPr>
            <w:r>
              <w:rPr>
                <w:rFonts w:ascii="Times New Roman" w:eastAsia="標楷體" w:hAnsi="Times New Roman" w:cs="新細明體, PMingLiU"/>
              </w:rPr>
              <w:t>遺屬一次金或首期遺屬年金，指支領或兼領月退休金人員亡故之日。</w:t>
            </w:r>
          </w:p>
          <w:p w:rsidR="00A95B54" w:rsidRDefault="00043114">
            <w:pPr>
              <w:pStyle w:val="ab"/>
              <w:numPr>
                <w:ilvl w:val="0"/>
                <w:numId w:val="5"/>
              </w:numPr>
              <w:ind w:left="743" w:hanging="505"/>
              <w:jc w:val="both"/>
              <w:rPr>
                <w:rFonts w:ascii="Times New Roman" w:eastAsia="標楷體" w:hAnsi="Times New Roman" w:cs="新細明體, PMingLiU"/>
              </w:rPr>
            </w:pPr>
            <w:r>
              <w:rPr>
                <w:rFonts w:ascii="Times New Roman" w:eastAsia="標楷體" w:hAnsi="Times New Roman" w:cs="新細明體, PMingLiU"/>
              </w:rPr>
              <w:t>一次撫卹金及首期月撫卹金，指教職員亡故之日。</w:t>
            </w:r>
          </w:p>
          <w:p w:rsidR="00A95B54" w:rsidRDefault="00043114">
            <w:pPr>
              <w:pStyle w:val="Standard"/>
              <w:widowControl/>
              <w:ind w:left="240" w:firstLine="480"/>
              <w:jc w:val="both"/>
            </w:pPr>
            <w:r>
              <w:rPr>
                <w:rFonts w:eastAsia="標楷體" w:cs="新細明體, PMingLiU"/>
              </w:rPr>
              <w:t>前項第三款及第四款所定之</w:t>
            </w:r>
            <w:r>
              <w:rPr>
                <w:rFonts w:eastAsia="標楷體" w:cs="新細明體, PMingLiU"/>
                <w:color w:val="000000"/>
              </w:rPr>
              <w:t>給與</w:t>
            </w:r>
            <w:r>
              <w:rPr>
                <w:rFonts w:eastAsia="標楷體" w:cs="新細明體, PMingLiU"/>
              </w:rPr>
              <w:t>，於支領或兼領月退休金教職員或教職員亡故之日時，其遺族因褫奪公權尚未復權而致不能行使者，其請求權時效自復權之日起算。</w:t>
            </w:r>
          </w:p>
          <w:p w:rsidR="00A95B54" w:rsidRDefault="00043114">
            <w:pPr>
              <w:pStyle w:val="Standard"/>
              <w:widowControl/>
              <w:ind w:left="240" w:firstLine="480"/>
              <w:jc w:val="both"/>
            </w:pPr>
            <w:r>
              <w:rPr>
                <w:rFonts w:eastAsia="標楷體" w:cs="新細明體, PMingLiU"/>
              </w:rPr>
              <w:t>本條例所定各定期發放之退撫給與及優惠存款利息之請求權時效</w:t>
            </w:r>
            <w:r>
              <w:rPr>
                <w:rFonts w:ascii="標楷體" w:eastAsia="標楷體" w:hAnsi="標楷體" w:cs="新細明體, PMingLiU"/>
              </w:rPr>
              <w:t>，</w:t>
            </w:r>
            <w:r>
              <w:rPr>
                <w:rFonts w:eastAsia="標楷體" w:cs="新細明體, PMingLiU"/>
              </w:rPr>
              <w:t>自各期發放之日起算</w:t>
            </w:r>
            <w:r>
              <w:rPr>
                <w:rFonts w:ascii="標楷體" w:eastAsia="標楷體" w:hAnsi="標楷體" w:cs="新細明體, PMingLiU"/>
              </w:rPr>
              <w:t>。其</w:t>
            </w:r>
            <w:r>
              <w:rPr>
                <w:rFonts w:eastAsia="標楷體" w:cs="新細明體, PMingLiU"/>
              </w:rPr>
              <w:t>因本條例第七十六條及第七十七條規定而應停止領受權利者</w:t>
            </w:r>
            <w:r>
              <w:rPr>
                <w:rFonts w:ascii="標楷體" w:eastAsia="標楷體" w:hAnsi="標楷體" w:cs="新細明體, PMingLiU"/>
              </w:rPr>
              <w:t>，</w:t>
            </w:r>
            <w:r>
              <w:rPr>
                <w:rFonts w:eastAsia="標楷體" w:cs="新細明體, PMingLiU"/>
              </w:rPr>
              <w:t>自停止原因消滅之日起算。</w:t>
            </w:r>
          </w:p>
          <w:p w:rsidR="00A95B54" w:rsidRDefault="00043114">
            <w:pPr>
              <w:pStyle w:val="Standard"/>
              <w:widowControl/>
              <w:ind w:left="240" w:firstLine="480"/>
              <w:jc w:val="both"/>
              <w:rPr>
                <w:rFonts w:eastAsia="標楷體" w:cs="新細明體, PMingLiU"/>
              </w:rPr>
            </w:pPr>
            <w:r>
              <w:rPr>
                <w:rFonts w:eastAsia="標楷體" w:cs="新細明體, PMingLiU"/>
              </w:rPr>
              <w:t>教職員或其遺族於中華民國一百零七年六月三十日以前已發生之退撫給與及優惠存款請求權且時效尚未完成者，自一百零七年七月一日起，適用本條例第七十三條及第一項規定；其已進行之時效期間應接續計算，合計為行政程序法所定請求權時效。</w:t>
            </w:r>
          </w:p>
        </w:tc>
      </w:tr>
    </w:tbl>
    <w:p w:rsidR="00A95B54" w:rsidRDefault="00A95B54">
      <w:pPr>
        <w:pStyle w:val="Standard"/>
        <w:ind w:left="1498" w:hanging="1498"/>
        <w:rPr>
          <w:rFonts w:ascii="標楷體" w:eastAsia="標楷體" w:hAnsi="標楷體" w:cs="標楷體"/>
          <w:sz w:val="32"/>
          <w:szCs w:val="32"/>
        </w:rPr>
      </w:pPr>
    </w:p>
    <w:sectPr w:rsidR="00A95B54">
      <w:footerReference w:type="default" r:id="rId7"/>
      <w:pgSz w:w="11906" w:h="16838"/>
      <w:pgMar w:top="1440" w:right="1800" w:bottom="1440"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B88" w:rsidRDefault="00E72B88">
      <w:pPr>
        <w:rPr>
          <w:rFonts w:hint="eastAsia"/>
        </w:rPr>
      </w:pPr>
      <w:r>
        <w:separator/>
      </w:r>
    </w:p>
  </w:endnote>
  <w:endnote w:type="continuationSeparator" w:id="0">
    <w:p w:rsidR="00E72B88" w:rsidRDefault="00E72B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60" w:rsidRDefault="00043114">
    <w:pPr>
      <w:pStyle w:val="aa"/>
      <w:jc w:val="center"/>
    </w:pPr>
    <w:r>
      <w:fldChar w:fldCharType="begin"/>
    </w:r>
    <w:r>
      <w:instrText xml:space="preserve"> PAGE </w:instrText>
    </w:r>
    <w:r>
      <w:fldChar w:fldCharType="separate"/>
    </w:r>
    <w:r w:rsidR="00FD1553">
      <w:rPr>
        <w:noProof/>
      </w:rPr>
      <w:t>2</w:t>
    </w:r>
    <w:r>
      <w:fldChar w:fldCharType="end"/>
    </w:r>
  </w:p>
  <w:p w:rsidR="00BA1560" w:rsidRDefault="00E72B8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B88" w:rsidRDefault="00E72B88">
      <w:pPr>
        <w:rPr>
          <w:rFonts w:hint="eastAsia"/>
        </w:rPr>
      </w:pPr>
      <w:r>
        <w:rPr>
          <w:color w:val="000000"/>
        </w:rPr>
        <w:separator/>
      </w:r>
    </w:p>
  </w:footnote>
  <w:footnote w:type="continuationSeparator" w:id="0">
    <w:p w:rsidR="00E72B88" w:rsidRDefault="00E72B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3E8"/>
    <w:multiLevelType w:val="multilevel"/>
    <w:tmpl w:val="F87E9200"/>
    <w:styleLink w:val="WW8Num5"/>
    <w:lvl w:ilvl="0">
      <w:start w:val="1"/>
      <w:numFmt w:val="japaneseCounting"/>
      <w:lvlText w:val="%1、"/>
      <w:lvlJc w:val="left"/>
      <w:rPr>
        <w:rFonts w:ascii="Times New Roman" w:eastAsia="標楷體" w:hAnsi="Times New Roman" w:cs="新細明體, PMingLiU"/>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6D24D33"/>
    <w:multiLevelType w:val="multilevel"/>
    <w:tmpl w:val="E7E0215C"/>
    <w:styleLink w:val="WW8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3E7C5C77"/>
    <w:multiLevelType w:val="multilevel"/>
    <w:tmpl w:val="1154477C"/>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48DB4F98"/>
    <w:multiLevelType w:val="multilevel"/>
    <w:tmpl w:val="8F985E6C"/>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57C61BD9"/>
    <w:multiLevelType w:val="multilevel"/>
    <w:tmpl w:val="16A05980"/>
    <w:styleLink w:val="WW8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589755D4"/>
    <w:multiLevelType w:val="multilevel"/>
    <w:tmpl w:val="D9CC2158"/>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597C2DB1"/>
    <w:multiLevelType w:val="multilevel"/>
    <w:tmpl w:val="31B6751A"/>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5F494E24"/>
    <w:multiLevelType w:val="multilevel"/>
    <w:tmpl w:val="E4507A8C"/>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71436EC8"/>
    <w:multiLevelType w:val="multilevel"/>
    <w:tmpl w:val="763AF558"/>
    <w:styleLink w:val="WW8Num2"/>
    <w:lvl w:ilvl="0">
      <w:start w:val="1"/>
      <w:numFmt w:val="japaneseCounting"/>
      <w:lvlText w:val="（%1）"/>
      <w:lvlJc w:val="left"/>
      <w:rPr>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5"/>
  </w:num>
  <w:num w:numId="8">
    <w:abstractNumId w:val="4"/>
  </w:num>
  <w:num w:numId="9">
    <w:abstractNumId w:val="1"/>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54"/>
    <w:rsid w:val="00043114"/>
    <w:rsid w:val="00991123"/>
    <w:rsid w:val="00A95B54"/>
    <w:rsid w:val="00E72B88"/>
    <w:rsid w:val="00FD1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FB534-2326-426E-B201-0C910B7B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customStyle="1" w:styleId="a6">
    <w:name w:val="受文者"/>
    <w:basedOn w:val="Standard"/>
    <w:pPr>
      <w:snapToGrid w:val="0"/>
      <w:spacing w:line="240" w:lineRule="atLeast"/>
    </w:pPr>
    <w:rPr>
      <w:rFonts w:ascii="Arial" w:eastAsia="標楷體" w:hAnsi="Arial" w:cs="Arial"/>
      <w:sz w:val="32"/>
      <w:szCs w:val="32"/>
    </w:rPr>
  </w:style>
  <w:style w:type="paragraph" w:customStyle="1" w:styleId="a7">
    <w:name w:val="機關名稱"/>
    <w:basedOn w:val="Standard"/>
    <w:pPr>
      <w:spacing w:after="60" w:line="520" w:lineRule="exact"/>
      <w:jc w:val="center"/>
    </w:pPr>
    <w:rPr>
      <w:rFonts w:ascii="標楷體" w:eastAsia="標楷體" w:hAnsi="標楷體" w:cs="標楷體"/>
      <w:color w:val="000000"/>
      <w:sz w:val="36"/>
    </w:rPr>
  </w:style>
  <w:style w:type="paragraph" w:customStyle="1" w:styleId="a8">
    <w:name w:val="公文文號"/>
    <w:basedOn w:val="a6"/>
    <w:pPr>
      <w:spacing w:after="30" w:line="320" w:lineRule="exact"/>
    </w:pPr>
    <w:rPr>
      <w:color w:val="000000"/>
      <w:sz w:val="24"/>
    </w:rPr>
  </w:style>
  <w:style w:type="paragraph" w:customStyle="1" w:styleId="a9">
    <w:name w:val="公文主旨"/>
    <w:basedOn w:val="Standard"/>
    <w:pPr>
      <w:spacing w:after="50" w:line="500" w:lineRule="exact"/>
      <w:ind w:left="924" w:hanging="924"/>
      <w:jc w:val="both"/>
    </w:pPr>
    <w:rPr>
      <w:rFonts w:ascii="標楷體" w:eastAsia="標楷體" w:hAnsi="標楷體" w:cs="標楷體"/>
      <w:color w:val="000000"/>
      <w:sz w:val="32"/>
    </w:rPr>
  </w:style>
  <w:style w:type="paragraph" w:styleId="aa">
    <w:name w:val="footer"/>
    <w:basedOn w:val="Standard"/>
    <w:pPr>
      <w:tabs>
        <w:tab w:val="center" w:pos="4153"/>
        <w:tab w:val="right" w:pos="8306"/>
      </w:tabs>
      <w:snapToGrid w:val="0"/>
    </w:pPr>
    <w:rPr>
      <w:sz w:val="20"/>
      <w:szCs w:val="20"/>
    </w:rPr>
  </w:style>
  <w:style w:type="paragraph" w:styleId="ab">
    <w:name w:val="List Paragraph"/>
    <w:basedOn w:val="Standard"/>
    <w:pPr>
      <w:ind w:left="480"/>
    </w:pPr>
    <w:rPr>
      <w:rFonts w:ascii="Calibri" w:hAnsi="Calibri" w:cs="Calibri"/>
    </w:rPr>
  </w:style>
  <w:style w:type="paragraph" w:styleId="ac">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標楷體" w:hAnsi="Times New Roman" w:cs="新細明體, PMingLiU"/>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ad">
    <w:name w:val="頁尾 字元"/>
    <w:rPr>
      <w:kern w:val="3"/>
    </w:rPr>
  </w:style>
  <w:style w:type="character" w:customStyle="1" w:styleId="ae">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　　更正</dc:title>
  <dc:creator>moejsmpc</dc:creator>
  <cp:lastModifiedBy>admin</cp:lastModifiedBy>
  <cp:revision>2</cp:revision>
  <cp:lastPrinted>2018-06-27T15:04:00Z</cp:lastPrinted>
  <dcterms:created xsi:type="dcterms:W3CDTF">2018-11-09T04:28:00Z</dcterms:created>
  <dcterms:modified xsi:type="dcterms:W3CDTF">2018-11-09T04:28:00Z</dcterms:modified>
</cp:coreProperties>
</file>